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内容分析编码员信度计算</w:t>
      </w:r>
    </w:p>
    <w:p>
      <w:pPr>
        <w:pStyle w:val="Author"/>
      </w:pPr>
      <w:r>
        <w:rPr>
          <w:rFonts w:hint="eastAsia"/>
        </w:rPr>
        <w:t xml:space="preserve">刘念夏</w:t>
      </w:r>
    </w:p>
    <w:p>
      <w:pPr>
        <w:pStyle w:val="Date"/>
      </w:pPr>
      <w:r>
        <w:t xml:space="preserve">2026-05-22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rPr>
              <w:rFonts w:hint="eastAsia"/>
            </w:rPr>
            <w:t xml:space="preserve">目录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SourceCode"/>
      </w:pPr>
      <w:r>
        <w:rPr>
          <w:rStyle w:val="CommentTok"/>
        </w:rPr>
        <w:t xml:space="preserve">#设置系統中文文字编码(简体中文)</w:t>
      </w:r>
      <w:r>
        <w:br/>
      </w:r>
      <w:r>
        <w:rPr>
          <w:rStyle w:val="FunctionTok"/>
        </w:rPr>
        <w:t xml:space="preserve">Sys.setlocale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category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"LC_ALL"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locale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"zh_CN.UTF-8"</w:t>
      </w:r>
      <w:r>
        <w:rPr>
          <w:rStyle w:val="NormalTok"/>
        </w:rPr>
        <w:t xml:space="preserve">) </w:t>
      </w:r>
    </w:p>
    <w:p>
      <w:pPr>
        <w:pStyle w:val="SourceCode"/>
      </w:pPr>
      <w:r>
        <w:rPr>
          <w:rStyle w:val="VerbatimChar"/>
        </w:rPr>
        <w:t xml:space="preserve">[1] "zh_CN.UTF-8/zh_CN.UTF-8/zh_CN.UTF-8/C/zh_CN.UTF-8/zh_CN.UTF-8"</w:t>
      </w:r>
    </w:p>
    <w:p>
      <w:pPr>
        <w:pStyle w:val="SourceCode"/>
      </w:pPr>
      <w:r>
        <w:rPr>
          <w:rStyle w:val="CommentTok"/>
        </w:rPr>
        <w:t xml:space="preserve">#使绘图物件中的中文文字能正确呈现</w:t>
      </w:r>
      <w:r>
        <w:br/>
      </w:r>
      <w:r>
        <w:rPr>
          <w:rStyle w:val="CommentTok"/>
        </w:rPr>
        <w:t xml:space="preserve">#调用加载"showtext"套件包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(showtext) 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载入需要的程序包：sysfonts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载入需要的程序包：showtextdb</w:t>
      </w:r>
    </w:p>
    <w:p>
      <w:pPr>
        <w:pStyle w:val="SourceCode"/>
      </w:pPr>
      <w:r>
        <w:rPr>
          <w:rStyle w:val="FunctionTok"/>
        </w:rPr>
        <w:t xml:space="preserve">showtext_auto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enable =</w:t>
      </w:r>
      <w:r>
        <w:rPr>
          <w:rStyle w:val="NormalTok"/>
        </w:rPr>
        <w:t xml:space="preserve"> </w:t>
      </w:r>
      <w:r>
        <w:rPr>
          <w:rStyle w:val="ConstantTok"/>
        </w:rPr>
        <w:t xml:space="preserve">TRUE</w:t>
      </w:r>
      <w:r>
        <w:rPr>
          <w:rStyle w:val="NormalTok"/>
        </w:rPr>
        <w:t xml:space="preserve">)</w:t>
      </w:r>
    </w:p>
    <w:bookmarkStart w:id="12" w:name="数据预备"/>
    <w:p>
      <w:pPr>
        <w:pStyle w:val="Heading2"/>
      </w:pPr>
      <w:r>
        <w:t xml:space="preserve">1 </w:t>
      </w:r>
      <w:r>
        <w:rPr>
          <w:rFonts w:hint="eastAsia"/>
        </w:rPr>
        <w:t xml:space="preserve">数据预备</w:t>
      </w:r>
    </w:p>
    <w:bookmarkStart w:id="9" w:name="创建示例数据-假设有-3-个类别0-1-2"/>
    <w:p>
      <w:pPr>
        <w:pStyle w:val="Heading3"/>
      </w:pPr>
      <w:r>
        <w:t xml:space="preserve">1.1 </w:t>
      </w:r>
      <w:r>
        <w:rPr>
          <w:rFonts w:hint="eastAsia"/>
        </w:rPr>
        <w:t xml:space="preserve">创建示例数据</w:t>
      </w:r>
      <w:r>
        <w:t xml:space="preserve"> </w:t>
      </w:r>
      <w:r>
        <w:rPr>
          <w:rFonts w:hint="eastAsia"/>
        </w:rPr>
        <w:t xml:space="preserve">(假设有</w:t>
      </w:r>
      <w:r>
        <w:t xml:space="preserve"> 3 </w:t>
      </w:r>
      <w:r>
        <w:rPr>
          <w:rFonts w:hint="eastAsia"/>
        </w:rPr>
        <w:t xml:space="preserve">个类别：0,</w:t>
      </w:r>
      <w:r>
        <w:t xml:space="preserve"> 1, 2)</w:t>
      </w:r>
    </w:p>
    <w:p>
      <w:pPr>
        <w:pStyle w:val="FirstParagraph"/>
      </w:pPr>
      <w:r>
        <w:rPr>
          <w:rFonts w:hint="eastAsia"/>
        </w:rPr>
        <w:t xml:space="preserve">编码员</w:t>
      </w:r>
      <w:r>
        <w:t xml:space="preserve"> A </w:t>
      </w:r>
      <w:r>
        <w:rPr>
          <w:rFonts w:hint="eastAsia"/>
        </w:rPr>
        <w:t xml:space="preserve">和</w:t>
      </w:r>
      <w:r>
        <w:t xml:space="preserve"> B </w:t>
      </w:r>
      <w:r>
        <w:rPr>
          <w:rFonts w:hint="eastAsia"/>
        </w:rPr>
        <w:t xml:space="preserve">对</w:t>
      </w:r>
      <w:r>
        <w:t xml:space="preserve"> 10 </w:t>
      </w:r>
      <w:r>
        <w:rPr>
          <w:rFonts w:hint="eastAsia"/>
        </w:rPr>
        <w:t xml:space="preserve">个样本(例如：10个视频)的判读结果</w:t>
      </w:r>
    </w:p>
    <w:p>
      <w:pPr>
        <w:pStyle w:val="SourceCode"/>
      </w:pPr>
      <w:r>
        <w:rPr>
          <w:rStyle w:val="NormalTok"/>
        </w:rPr>
        <w:t xml:space="preserve">coder_A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coder_B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</w:p>
    <w:bookmarkEnd w:id="9"/>
    <w:bookmarkStart w:id="10" w:name="将数据合并为数据框-data.frame-格式"/>
    <w:p>
      <w:pPr>
        <w:pStyle w:val="Heading3"/>
      </w:pPr>
      <w:r>
        <w:t xml:space="preserve">1.2 </w:t>
      </w:r>
      <w:r>
        <w:rPr>
          <w:rFonts w:hint="eastAsia"/>
        </w:rPr>
        <w:t xml:space="preserve">将数据合并为数据框</w:t>
      </w:r>
      <w:r>
        <w:t xml:space="preserve"> (data.frame </w:t>
      </w:r>
      <w:r>
        <w:rPr>
          <w:rFonts w:hint="eastAsia"/>
        </w:rPr>
        <w:t xml:space="preserve">格式)</w:t>
      </w:r>
    </w:p>
    <w:p>
      <w:pPr>
        <w:pStyle w:val="SourceCode"/>
      </w:pPr>
      <w:r>
        <w:rPr>
          <w:rStyle w:val="NormalTok"/>
        </w:rPr>
        <w:t xml:space="preserve">data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(coder_A, coder_B)</w:t>
      </w:r>
    </w:p>
    <w:bookmarkEnd w:id="10"/>
    <w:bookmarkStart w:id="11" w:name="查看数据结构"/>
    <w:p>
      <w:pPr>
        <w:pStyle w:val="Heading3"/>
      </w:pPr>
      <w:r>
        <w:t xml:space="preserve">1.3 </w:t>
      </w:r>
      <w:r>
        <w:rPr>
          <w:rFonts w:hint="eastAsia"/>
        </w:rPr>
        <w:t xml:space="preserve">查看数据结构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(data)</w:t>
      </w:r>
    </w:p>
    <w:p>
      <w:pPr>
        <w:pStyle w:val="SourceCode"/>
      </w:pPr>
      <w:r>
        <w:rPr>
          <w:rStyle w:val="VerbatimChar"/>
        </w:rPr>
        <w:t xml:space="preserve">   coder_A coder_B</w:t>
      </w:r>
      <w:r>
        <w:br/>
      </w:r>
      <w:r>
        <w:rPr>
          <w:rStyle w:val="VerbatimChar"/>
        </w:rPr>
        <w:t xml:space="preserve">1        1       1</w:t>
      </w:r>
      <w:r>
        <w:br/>
      </w:r>
      <w:r>
        <w:rPr>
          <w:rStyle w:val="VerbatimChar"/>
        </w:rPr>
        <w:t xml:space="preserve">2        0       0</w:t>
      </w:r>
      <w:r>
        <w:br/>
      </w:r>
      <w:r>
        <w:rPr>
          <w:rStyle w:val="VerbatimChar"/>
        </w:rPr>
        <w:t xml:space="preserve">3        2       1</w:t>
      </w:r>
      <w:r>
        <w:br/>
      </w:r>
      <w:r>
        <w:rPr>
          <w:rStyle w:val="VerbatimChar"/>
        </w:rPr>
        <w:t xml:space="preserve">4        1       1</w:t>
      </w:r>
      <w:r>
        <w:br/>
      </w:r>
      <w:r>
        <w:rPr>
          <w:rStyle w:val="VerbatimChar"/>
        </w:rPr>
        <w:t xml:space="preserve">5        1       1</w:t>
      </w:r>
      <w:r>
        <w:br/>
      </w:r>
      <w:r>
        <w:rPr>
          <w:rStyle w:val="VerbatimChar"/>
        </w:rPr>
        <w:t xml:space="preserve">6        0       0</w:t>
      </w:r>
      <w:r>
        <w:br/>
      </w:r>
      <w:r>
        <w:rPr>
          <w:rStyle w:val="VerbatimChar"/>
        </w:rPr>
        <w:t xml:space="preserve">7        2       2</w:t>
      </w:r>
      <w:r>
        <w:br/>
      </w:r>
      <w:r>
        <w:rPr>
          <w:rStyle w:val="VerbatimChar"/>
        </w:rPr>
        <w:t xml:space="preserve">8        1       0</w:t>
      </w:r>
      <w:r>
        <w:br/>
      </w:r>
      <w:r>
        <w:rPr>
          <w:rStyle w:val="VerbatimChar"/>
        </w:rPr>
        <w:t xml:space="preserve">9        0       0</w:t>
      </w:r>
      <w:r>
        <w:br/>
      </w:r>
      <w:r>
        <w:rPr>
          <w:rStyle w:val="VerbatimChar"/>
        </w:rPr>
        <w:t xml:space="preserve">10       1       1</w:t>
      </w:r>
    </w:p>
    <w:bookmarkEnd w:id="11"/>
    <w:bookmarkEnd w:id="12"/>
    <w:bookmarkStart w:id="17" w:name="计算-holstis-alpha2位编码员时使用一般使用"/>
    <w:p>
      <w:pPr>
        <w:pStyle w:val="Heading2"/>
      </w:pPr>
      <w:r>
        <w:t xml:space="preserve">2 </w:t>
      </w:r>
      <w:r>
        <w:rPr>
          <w:rFonts w:hint="eastAsia"/>
        </w:rPr>
        <w:t xml:space="preserve">计算</w:t>
      </w:r>
      <w:r>
        <w:t xml:space="preserve"> Holsti’s </w:t>
      </w:r>
      <w:r>
        <w:rPr>
          <w:rFonts w:hint="eastAsia"/>
        </w:rPr>
        <w:t xml:space="preserve">Alpha(2位编码员时使用)(一般使用)</w:t>
      </w:r>
    </w:p>
    <w:bookmarkStart w:id="13" w:name="holstis-alpha公式"/>
    <w:p>
      <w:pPr>
        <w:pStyle w:val="Heading3"/>
      </w:pPr>
      <w:r>
        <w:t xml:space="preserve">2.1 Holsti’s </w:t>
      </w:r>
      <w:r>
        <w:rPr>
          <w:rFonts w:hint="eastAsia"/>
        </w:rPr>
        <w:t xml:space="preserve">Alpha公式</w:t>
      </w:r>
    </w:p>
    <w:p>
      <w:pPr>
        <w:pStyle w:val="FirstParagraph"/>
      </w:pPr>
      <w:r>
        <w:t xml:space="preserve">Holsti’s Alpha </w:t>
      </w:r>
      <w:r>
        <w:rPr>
          <w:rFonts w:hint="eastAsia"/>
        </w:rPr>
        <w:t xml:space="preserve">也称为</w:t>
      </w:r>
      <m:oMath>
        <m:r>
          <m:t>C</m:t>
        </m:r>
        <m:r>
          <m:rPr>
            <m:sty m:val="p"/>
          </m:rPr>
          <m:t>.</m:t>
        </m:r>
        <m:r>
          <m:t>R</m:t>
        </m:r>
        <m:r>
          <m:rPr>
            <m:sty m:val="p"/>
          </m:rPr>
          <m:t>.</m:t>
        </m:r>
      </m:oMath>
      <w:r>
        <w:t xml:space="preserve"> </w:t>
      </w:r>
      <w:r>
        <w:rPr>
          <w:rFonts w:hint="eastAsia"/>
        </w:rPr>
        <w:t xml:space="preserve">(信度系数,Coefficient</w:t>
      </w:r>
      <w:r>
        <w:t xml:space="preserve"> of </w:t>
      </w:r>
      <w:r>
        <w:rPr>
          <w:rFonts w:hint="eastAsia"/>
        </w:rPr>
        <w:t xml:space="preserve">Reliability)，计算公式如下：</w:t>
      </w:r>
    </w:p>
    <w:p>
      <w:pPr>
        <w:pStyle w:val="SourceCode"/>
      </w:pP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t>&amp;</m:t>
              </m:r>
              <m:r>
                <m:t>H</m:t>
              </m:r>
              <m:r>
                <m:t>o</m:t>
              </m:r>
              <m:r>
                <m:t>l</m:t>
              </m:r>
              <m:r>
                <m:t>s</m:t>
              </m:r>
              <m:r>
                <m:t>t</m:t>
              </m:r>
              <m:sSup>
                <m:e>
                  <m:r>
                    <m:t>i</m:t>
                  </m:r>
                </m:e>
                <m:sup>
                  <m:r>
                    <m:rPr>
                      <m:sty m:val="p"/>
                    </m:rPr>
                    <m:t>′</m:t>
                  </m:r>
                </m:sup>
              </m:sSup>
              <m:r>
                <m:t>s</m:t>
              </m:r>
              <m:r>
                <m:t>A</m:t>
              </m:r>
              <m:r>
                <m:t>l</m:t>
              </m:r>
              <m:r>
                <m:t>p</m:t>
              </m:r>
              <m:r>
                <m:t>h</m:t>
              </m:r>
              <m:r>
                <m:t>a</m:t>
              </m:r>
              <m:r>
                <m:rPr>
                  <m:sty m:val="p"/>
                </m:rPr>
                <m:t>=</m:t>
              </m:r>
              <m:r>
                <m:t>C</m:t>
              </m:r>
              <m:r>
                <m:rPr>
                  <m:sty m:val="p"/>
                </m:rPr>
                <m:t>.</m:t>
              </m:r>
              <m:r>
                <m:t>R</m:t>
              </m:r>
              <m:r>
                <m:rPr>
                  <m:sty m:val="p"/>
                </m:rPr>
                <m:t>.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2</m:t>
                  </m:r>
                  <m:r>
                    <m:t>M</m:t>
                  </m:r>
                </m:num>
                <m:den>
                  <m:sSub>
                    <m:e>
                      <m:r>
                        <m:t>n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rPr>
                      <m:sty m:val="p"/>
                    </m:rPr>
                    <m:t>+</m:t>
                  </m:r>
                  <m:sSub>
                    <m:e>
                      <m:r>
                        <m:t>n</m:t>
                      </m:r>
                    </m:e>
                    <m:sub>
                      <m:r>
                        <m:t>2</m:t>
                      </m:r>
                    </m:sub>
                  </m:sSub>
                </m:den>
              </m:f>
            </m:e>
            <m:e>
              <m:r>
                <m:t>&amp;</m:t>
              </m:r>
              <m:r>
                <m:t>其</m:t>
              </m:r>
              <m:r>
                <m:t>中</m:t>
              </m:r>
              <m:r>
                <m:rPr>
                  <m:sty m:val="p"/>
                </m:rPr>
                <m:t>：</m:t>
              </m:r>
            </m:e>
            <m:e>
              <m:r>
                <m:t>&amp;</m:t>
              </m:r>
              <m:r>
                <m:t>M</m:t>
              </m:r>
              <m:r>
                <m:rPr>
                  <m:sty m:val="p"/>
                </m:rPr>
                <m:t>=</m:t>
              </m:r>
              <m:r>
                <m:t>两</m:t>
              </m:r>
              <m:r>
                <m:t>位</m:t>
              </m:r>
              <m:r>
                <m:t>编</m:t>
              </m:r>
              <m:r>
                <m:t>码</m:t>
              </m:r>
              <m:r>
                <m:t>员</m:t>
              </m:r>
              <m:r>
                <m:t>编</m:t>
              </m:r>
              <m:r>
                <m:t>码</m:t>
              </m:r>
              <m:r>
                <m:t>一</m:t>
              </m:r>
              <m:r>
                <m:t>致</m:t>
              </m:r>
              <m:r>
                <m:t>的</m:t>
              </m:r>
              <m:r>
                <m:t>样</m:t>
              </m:r>
              <m:r>
                <m:t>本</m:t>
              </m:r>
              <m:r>
                <m:t>数</m:t>
              </m:r>
            </m:e>
            <m:e>
              <m:r>
                <m:t>&amp;</m:t>
              </m:r>
              <m:sSub>
                <m:e>
                  <m:r>
                    <m:t>n</m:t>
                  </m:r>
                </m:e>
                <m:sub>
                  <m:r>
                    <m:t>1</m:t>
                  </m:r>
                </m:sub>
              </m:sSub>
              <m:r>
                <m:rPr>
                  <m:sty m:val="p"/>
                </m:rPr>
                <m:t>=</m:t>
              </m:r>
              <m:r>
                <m:t>编</m:t>
              </m:r>
              <m:r>
                <m:t>码</m:t>
              </m:r>
              <m:r>
                <m:t>员</m:t>
              </m:r>
              <m:r>
                <m:t>n</m:t>
              </m:r>
              <m:r>
                <m:t>1</m:t>
              </m:r>
              <m:r>
                <m:t>处</m:t>
              </m:r>
              <m:r>
                <m:t>理</m:t>
              </m:r>
              <m:r>
                <m:t>的</m:t>
              </m:r>
              <m:r>
                <m:t>样</m:t>
              </m:r>
              <m:r>
                <m:t>本</m:t>
              </m:r>
              <m:r>
                <m:t>数</m:t>
              </m:r>
            </m:e>
            <m:e>
              <m:r>
                <m:t>&amp;</m:t>
              </m:r>
              <m:sSub>
                <m:e>
                  <m:r>
                    <m:t>n</m:t>
                  </m:r>
                </m:e>
                <m:sub>
                  <m:r>
                    <m:t>2</m:t>
                  </m:r>
                </m:sub>
              </m:sSub>
              <m:r>
                <m:rPr>
                  <m:sty m:val="p"/>
                </m:rPr>
                <m:t>=</m:t>
              </m:r>
              <m:r>
                <m:t>编</m:t>
              </m:r>
              <m:r>
                <m:t>码</m:t>
              </m:r>
              <m:r>
                <m:t>员</m:t>
              </m:r>
              <m:r>
                <m:t>n</m:t>
              </m:r>
              <m:r>
                <m:t>2</m:t>
              </m:r>
              <m:r>
                <m:t>处</m:t>
              </m:r>
              <m:r>
                <m:t>理</m:t>
              </m:r>
              <m:r>
                <m:t>的</m:t>
              </m:r>
              <m:r>
                <m:t>样</m:t>
              </m:r>
              <m:r>
                <m:t>本</m:t>
              </m:r>
              <m:r>
                <m:t>数</m:t>
              </m:r>
            </m:e>
            <m:e/>
          </m:eqArr>
        </m:oMath>
      </m:oMathPara>
    </w:p>
    <w:bookmarkEnd w:id="13"/>
    <w:bookmarkStart w:id="16" w:name="手工计算-holstis-alpha"/>
    <w:p>
      <w:pPr>
        <w:pStyle w:val="Heading3"/>
      </w:pPr>
      <w:r>
        <w:t xml:space="preserve">2.2 </w:t>
      </w:r>
      <w:r>
        <w:rPr>
          <w:rFonts w:hint="eastAsia"/>
        </w:rPr>
        <w:t xml:space="preserve">手工计算</w:t>
      </w:r>
      <w:r>
        <w:t xml:space="preserve"> Holsti’s Alpha</w:t>
      </w:r>
    </w:p>
    <w:bookmarkStart w:id="14" w:name="呈现交叉表"/>
    <w:p>
      <w:pPr>
        <w:pStyle w:val="Heading4"/>
      </w:pPr>
      <w:r>
        <w:t xml:space="preserve">2.2.1 </w:t>
      </w:r>
      <w:r>
        <w:rPr>
          <w:rFonts w:hint="eastAsia"/>
        </w:rPr>
        <w:t xml:space="preserve">呈现交叉表</w:t>
      </w:r>
    </w:p>
    <w:p>
      <w:pPr>
        <w:pStyle w:val="SourceCode"/>
      </w:pPr>
      <w:r>
        <w:rPr>
          <w:rStyle w:val="CommentTok"/>
        </w:rPr>
        <w:t xml:space="preserve">#install.packages("sjPlot")</w:t>
      </w:r>
      <w:r>
        <w:br/>
      </w:r>
      <w:r>
        <w:rPr>
          <w:rStyle w:val="CommentTok"/>
        </w:rPr>
        <w:t xml:space="preserve">#library(sjPlot)</w:t>
      </w:r>
      <w:r>
        <w:br/>
      </w:r>
      <w:r>
        <w:rPr>
          <w:rStyle w:val="CommentTok"/>
        </w:rPr>
        <w:t xml:space="preserve">#tab_xtab(data$coder_A, data$coder_B, show.summary = FALSE)</w:t>
      </w:r>
    </w:p>
    <w:bookmarkEnd w:id="14"/>
    <w:bookmarkStart w:id="15" w:name="手工计算"/>
    <w:p>
      <w:pPr>
        <w:pStyle w:val="Heading4"/>
      </w:pPr>
      <w:r>
        <w:t xml:space="preserve">2.2.2 </w:t>
      </w:r>
      <w:r>
        <w:rPr>
          <w:rFonts w:hint="eastAsia"/>
        </w:rPr>
        <w:t xml:space="preserve">手工计算</w:t>
      </w:r>
    </w:p>
    <w:p>
      <w:pPr>
        <w:pStyle w:val="FirstParagraph"/>
      </w:pPr>
      <w:r>
        <w:rPr>
          <w:rFonts w:hint="eastAsia"/>
        </w:rPr>
        <w:t xml:space="preserve">2位编码员编码一致的数目：3+4+1=8</w:t>
      </w:r>
      <w:r>
        <w:t xml:space="preserve"> </w:t>
      </w:r>
      <w:r>
        <w:rPr>
          <w:rFonts w:hint="eastAsia"/>
        </w:rPr>
        <w:t xml:space="preserve">总编码数目：10</w:t>
      </w:r>
    </w:p>
    <w:p>
      <w:pPr>
        <w:pStyle w:val="BodyText"/>
      </w:pPr>
      <w:r>
        <w:t xml:space="preserve">Holsti’s Alpha = (2 * 8) / (10+10) = 0.8</w:t>
      </w:r>
    </w:p>
    <w:p>
      <w:pPr>
        <w:pStyle w:val="BodyText"/>
      </w:pPr>
      <w:r>
        <w:t xml:space="preserve">Holsti’s </w:t>
      </w:r>
      <w:r>
        <w:rPr>
          <w:rFonts w:hint="eastAsia"/>
        </w:rPr>
        <w:t xml:space="preserve">Alpha系数虚高，比较水。学术圈比较不常用，较常使用</w:t>
      </w:r>
      <w:r>
        <w:t xml:space="preserve"> Cohen’s Kappa。</w:t>
      </w:r>
    </w:p>
    <w:bookmarkEnd w:id="15"/>
    <w:bookmarkEnd w:id="16"/>
    <w:bookmarkEnd w:id="17"/>
    <w:bookmarkStart w:id="23" w:name="计算cohens-kappa-2位编码员时使用学术常用"/>
    <w:p>
      <w:pPr>
        <w:pStyle w:val="Heading2"/>
      </w:pPr>
      <w:r>
        <w:t xml:space="preserve">3 </w:t>
      </w:r>
      <w:r>
        <w:rPr>
          <w:rFonts w:hint="eastAsia"/>
        </w:rPr>
        <w:t xml:space="preserve">计算Cohen’s</w:t>
      </w:r>
      <w:r>
        <w:t xml:space="preserve"> Kappa </w:t>
      </w:r>
      <w:r>
        <w:rPr>
          <w:rFonts w:hint="eastAsia"/>
        </w:rPr>
        <w:t xml:space="preserve">(2位编码员时使用)(学术常用)</w:t>
      </w:r>
    </w:p>
    <w:p>
      <w:pPr>
        <w:pStyle w:val="FirstParagraph"/>
      </w:pPr>
      <w:r>
        <w:t xml:space="preserve">Kappa </w:t>
      </w:r>
      <w:r>
        <w:rPr>
          <w:rFonts w:hint="eastAsia"/>
        </w:rPr>
        <w:t xml:space="preserve">系数排除了随机一致的概率，所以会较Holsti低，比较严谨，学术常用。</w:t>
      </w:r>
    </w:p>
    <w:bookmarkStart w:id="18" w:name="使用-irr-包中的-kappa2-函数计算-cohens-kappa"/>
    <w:p>
      <w:pPr>
        <w:pStyle w:val="Heading3"/>
      </w:pPr>
      <w:r>
        <w:t xml:space="preserve">3.1 </w:t>
      </w:r>
      <w:r>
        <w:rPr>
          <w:rFonts w:hint="eastAsia"/>
        </w:rPr>
        <w:t xml:space="preserve">使用</w:t>
      </w:r>
      <w:r>
        <w:t xml:space="preserve"> irr </w:t>
      </w:r>
      <w:r>
        <w:rPr>
          <w:rFonts w:hint="eastAsia"/>
        </w:rPr>
        <w:t xml:space="preserve">包中的</w:t>
      </w:r>
      <w:r>
        <w:t xml:space="preserve"> kappa2( ) </w:t>
      </w:r>
      <w:r>
        <w:rPr>
          <w:rFonts w:hint="eastAsia"/>
        </w:rPr>
        <w:t xml:space="preserve">函数，计算</w:t>
      </w:r>
      <w:r>
        <w:t xml:space="preserve"> Cohen’s Kappa。</w:t>
      </w:r>
    </w:p>
    <w:p>
      <w:pPr>
        <w:pStyle w:val="SourceCode"/>
      </w:pPr>
      <w:r>
        <w:rPr>
          <w:rStyle w:val="CommentTok"/>
        </w:rPr>
        <w:t xml:space="preserve">#install.packages("irr") 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(irr)</w:t>
      </w:r>
    </w:p>
    <w:p>
      <w:pPr>
        <w:pStyle w:val="SourceCode"/>
      </w:pPr>
      <w:r>
        <w:rPr>
          <w:rStyle w:val="VerbatimChar"/>
          <w:rFonts w:hint="eastAsia"/>
        </w:rPr>
        <w:t xml:space="preserve">载入需要的程序包：lpSolve</w:t>
      </w:r>
    </w:p>
    <w:p>
      <w:pPr>
        <w:pStyle w:val="SourceCode"/>
      </w:pPr>
      <w:r>
        <w:rPr>
          <w:rStyle w:val="NormalTok"/>
        </w:rPr>
        <w:t xml:space="preserve">result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kappa2</w:t>
      </w:r>
      <w:r>
        <w:rPr>
          <w:rStyle w:val="NormalTok"/>
        </w:rPr>
        <w:t xml:space="preserve">(data)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(result) </w:t>
      </w:r>
      <w:r>
        <w:rPr>
          <w:rStyle w:val="CommentTok"/>
        </w:rPr>
        <w:t xml:space="preserve">#Kappa=0.672</w:t>
      </w:r>
    </w:p>
    <w:p>
      <w:pPr>
        <w:pStyle w:val="SourceCode"/>
      </w:pPr>
      <w:r>
        <w:rPr>
          <w:rStyle w:val="VerbatimChar"/>
        </w:rPr>
        <w:t xml:space="preserve"> Cohen's Kappa for 2 Raters (Weights: unweighted)</w:t>
      </w:r>
      <w:r>
        <w:br/>
      </w:r>
      <w:r>
        <w:br/>
      </w:r>
      <w:r>
        <w:rPr>
          <w:rStyle w:val="VerbatimChar"/>
        </w:rPr>
        <w:t xml:space="preserve"> Subjects = 10 </w:t>
      </w:r>
      <w:r>
        <w:br/>
      </w:r>
      <w:r>
        <w:rPr>
          <w:rStyle w:val="VerbatimChar"/>
        </w:rPr>
        <w:t xml:space="preserve">   Raters = 2 </w:t>
      </w:r>
      <w:r>
        <w:br/>
      </w:r>
      <w:r>
        <w:rPr>
          <w:rStyle w:val="VerbatimChar"/>
        </w:rPr>
        <w:t xml:space="preserve">    Kappa = 0.672 </w:t>
      </w:r>
      <w:r>
        <w:br/>
      </w:r>
      <w:r>
        <w:br/>
      </w:r>
      <w:r>
        <w:rPr>
          <w:rStyle w:val="VerbatimChar"/>
        </w:rPr>
        <w:t xml:space="preserve">        z = 2.88 </w:t>
      </w:r>
      <w:r>
        <w:br/>
      </w:r>
      <w:r>
        <w:rPr>
          <w:rStyle w:val="VerbatimChar"/>
        </w:rPr>
        <w:t xml:space="preserve">  p-value = 0.00393 </w:t>
      </w:r>
    </w:p>
    <w:bookmarkEnd w:id="18"/>
    <w:bookmarkStart w:id="21" w:name="人工计算-cohens-kappa"/>
    <w:p>
      <w:pPr>
        <w:pStyle w:val="Heading3"/>
      </w:pPr>
      <w:r>
        <w:t xml:space="preserve">3.2 </w:t>
      </w:r>
      <w:r>
        <w:rPr>
          <w:rFonts w:hint="eastAsia"/>
        </w:rPr>
        <w:t xml:space="preserve">人工计算</w:t>
      </w:r>
      <w:r>
        <w:t xml:space="preserve"> Cohen’s Kappa。</w:t>
      </w:r>
    </w:p>
    <w:bookmarkStart w:id="19" w:name="kappa公式"/>
    <w:p>
      <w:pPr>
        <w:pStyle w:val="Heading4"/>
      </w:pPr>
      <w:r>
        <w:t xml:space="preserve">3.2.1 </w:t>
      </w:r>
      <w:r>
        <w:rPr>
          <w:rFonts w:hint="eastAsia"/>
        </w:rPr>
        <w:t xml:space="preserve">Kappa公式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t>κ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sSub>
                    <m:e>
                      <m:r>
                        <m:t>P</m:t>
                      </m:r>
                    </m:e>
                    <m:sub>
                      <m:r>
                        <m:t>o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e</m:t>
                      </m:r>
                    </m:sub>
                  </m:sSub>
                </m:num>
                <m:den>
                  <m:r>
                    <m:t>1</m:t>
                  </m:r>
                  <m:r>
                    <m:rPr>
                      <m:sty m:val="p"/>
                    </m:rPr>
                    <m:t>−</m:t>
                  </m:r>
                  <m:sSub>
                    <m:e>
                      <m:r>
                        <m:t>P</m:t>
                      </m:r>
                    </m:e>
                    <m:sub>
                      <m:r>
                        <m:t>e</m:t>
                      </m:r>
                    </m:sub>
                  </m:sSub>
                </m:den>
              </m:f>
            </m:e>
            <m:e>
              <m:r>
                <m:rPr>
                  <m:nor/>
                  <m:sty m:val="p"/>
                </m:rPr>
                <m:t>其中：</m:t>
              </m:r>
              <m:r>
                <m:t>&amp;</m:t>
              </m:r>
              <m:sSub>
                <m:e>
                  <m:r>
                    <m:t>P</m:t>
                  </m:r>
                </m:e>
                <m:sub>
                  <m:r>
                    <m:t>o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观察一致性(observed agreement)</m:t>
              </m:r>
            </m:e>
            <m:e>
              <m:r>
                <m:t>&amp;</m:t>
              </m:r>
              <m:sSub>
                <m:e>
                  <m:r>
                    <m:t>P</m:t>
                  </m:r>
                </m:e>
                <m:sub>
                  <m:r>
                    <m:t>e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随机一致性(expected agreement)</m:t>
              </m:r>
            </m:e>
          </m:eqArr>
        </m:oMath>
      </m:oMathPara>
    </w:p>
    <w:bookmarkEnd w:id="19"/>
    <w:bookmarkStart w:id="20" w:name="计算-p_o-和-p_e"/>
    <w:p>
      <w:pPr>
        <w:pStyle w:val="Heading4"/>
      </w:pPr>
      <w:r>
        <w:t xml:space="preserve">3.2.2 </w:t>
      </w:r>
      <w:r>
        <w:rPr>
          <w:rFonts w:hint="eastAsia"/>
        </w:rPr>
        <w:t xml:space="preserve">计算</w:t>
      </w:r>
      <w:r>
        <w:t xml:space="preserve"> </w:t>
      </w:r>
      <m:oMath>
        <m:sSub>
          <m:e>
            <m:r>
              <m:t>P</m:t>
            </m:r>
          </m:e>
          <m:sub>
            <m:r>
              <m:t>o</m:t>
            </m:r>
          </m:sub>
        </m:sSub>
      </m:oMath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m:oMath>
        <m:sSub>
          <m:e>
            <m:r>
              <m:t>P</m:t>
            </m:r>
          </m:e>
          <m:sub>
            <m:r>
              <m:t>e</m:t>
            </m:r>
          </m:sub>
        </m:sSub>
      </m:oMath>
    </w:p>
    <w:p>
      <w:pPr>
        <w:numPr>
          <w:ilvl w:val="0"/>
          <w:numId w:val="1001"/>
        </w:numPr>
      </w:pPr>
      <m:oMath>
        <m:sSub>
          <m:e>
            <m:r>
              <m:t>P</m:t>
            </m:r>
          </m:e>
          <m:sub>
            <m:r>
              <m:t>o</m:t>
            </m:r>
          </m:sub>
        </m:sSub>
      </m:oMath>
      <w:r>
        <w:rPr>
          <w:rFonts w:hint="eastAsia"/>
        </w:rPr>
        <w:t xml:space="preserve">：两位编码员达成一致的比例</w:t>
      </w:r>
      <w:r>
        <w:t xml:space="preserve"> = 8/10 = 0.8</w:t>
      </w:r>
    </w:p>
    <w:p>
      <w:pPr>
        <w:numPr>
          <w:ilvl w:val="0"/>
          <w:numId w:val="1001"/>
        </w:numPr>
      </w:pPr>
      <m:oMath>
        <m:sSub>
          <m:e>
            <m:r>
              <m:t>P</m:t>
            </m:r>
          </m:e>
          <m:sub>
            <m:r>
              <m:t>e</m:t>
            </m:r>
          </m:sub>
        </m:sSub>
      </m:oMath>
      <w:r>
        <w:rPr>
          <w:rFonts w:hint="eastAsia"/>
        </w:rPr>
        <w:t xml:space="preserve">：随机一致的概率</w:t>
      </w:r>
      <w:r>
        <w:t xml:space="preserve"> = (0.3 * 0.4) + (0.5 * 0.5) + (0.2 * 0.1) = 0.39</w:t>
      </w:r>
    </w:p>
    <w:p>
      <w:pPr>
        <w:numPr>
          <w:ilvl w:val="0"/>
          <w:numId w:val="1001"/>
        </w:numPr>
      </w:pPr>
      <w:r>
        <w:rPr>
          <w:rFonts w:hint="eastAsia"/>
        </w:rPr>
        <w:t xml:space="preserve">计算</w:t>
      </w:r>
      <w:r>
        <w:t xml:space="preserve"> </w:t>
      </w:r>
      <w:r>
        <w:rPr>
          <w:rFonts w:hint="eastAsia"/>
        </w:rPr>
        <w:t xml:space="preserve">Kappa：</w:t>
      </w:r>
    </w:p>
    <w:p>
      <w:pPr>
        <w:pStyle w:val="FirstParagraph"/>
      </w:pPr>
      <m:oMathPara>
        <m:oMathParaPr>
          <m:jc m:val="center"/>
        </m:oMathParaPr>
        <m:oMath>
          <m:r>
            <m:t>κ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0.8</m:t>
              </m:r>
              <m:r>
                <m:rPr>
                  <m:sty m:val="p"/>
                </m:rPr>
                <m:t>−</m:t>
              </m:r>
              <m:r>
                <m:t>0.39</m:t>
              </m:r>
            </m:num>
            <m:den>
              <m:r>
                <m:t>1</m:t>
              </m:r>
              <m:r>
                <m:rPr>
                  <m:sty m:val="p"/>
                </m:rPr>
                <m:t>−</m:t>
              </m:r>
              <m:r>
                <m:t>0.39</m:t>
              </m:r>
            </m:den>
          </m:f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0.41</m:t>
              </m:r>
            </m:num>
            <m:den>
              <m:r>
                <m:t>0.61</m:t>
              </m:r>
            </m:den>
          </m:f>
          <m:r>
            <m:rPr>
              <m:sty m:val="p"/>
            </m:rPr>
            <m:t>≈</m:t>
          </m:r>
          <m:r>
            <m:t>0.672</m:t>
          </m:r>
        </m:oMath>
      </m:oMathPara>
    </w:p>
    <w:bookmarkEnd w:id="20"/>
    <w:bookmarkEnd w:id="21"/>
    <w:bookmarkStart w:id="22" w:name="系数解读"/>
    <w:p>
      <w:pPr>
        <w:pStyle w:val="Heading3"/>
      </w:pPr>
      <w:r>
        <w:t xml:space="preserve">3.3 </w:t>
      </w:r>
      <w:r>
        <w:rPr>
          <w:rFonts w:hint="eastAsia"/>
        </w:rPr>
        <w:t xml:space="preserve">系数解读</w:t>
      </w:r>
    </w:p>
    <w:p>
      <w:pPr>
        <w:pStyle w:val="FirstParagraph"/>
      </w:pPr>
      <w:r>
        <w:t xml:space="preserve">Cohen’s Kappa </w:t>
      </w:r>
      <w:r>
        <w:rPr>
          <w:rFonts w:hint="eastAsia"/>
        </w:rPr>
        <w:t xml:space="preserve">系数的核心逻辑是：</w:t>
      </w:r>
      <w:r>
        <w:t xml:space="preserve"> </w:t>
      </w:r>
      <w:r>
        <w:rPr>
          <w:rFonts w:hint="eastAsia"/>
        </w:rPr>
        <w:t xml:space="preserve">在排除掉“随机乱猜而达成一致”的可能性后，两位编码员实际达成一致的比例是多少。</w:t>
      </w:r>
    </w:p>
    <w:p>
      <w:pPr>
        <w:pStyle w:val="BodyText"/>
      </w:pPr>
      <w:r>
        <w:t xml:space="preserve">Kappa (</w:t>
      </w:r>
      <m:oMath>
        <m:r>
          <m:t>k</m:t>
        </m:r>
      </m:oMath>
      <w:r>
        <w:t xml:space="preserve">): </w:t>
      </w:r>
      <w:r>
        <w:rPr>
          <w:rFonts w:hint="eastAsia"/>
        </w:rPr>
        <w:t xml:space="preserve">系数&lt;</w:t>
      </w:r>
      <w:r>
        <w:t xml:space="preserve"> 0: </w:t>
      </w:r>
      <w:r>
        <w:rPr>
          <w:rFonts w:hint="eastAsia"/>
        </w:rPr>
        <w:t xml:space="preserve">几乎没有一致性。</w:t>
      </w:r>
    </w:p>
    <w:p>
      <w:pPr>
        <w:pStyle w:val="BodyText"/>
      </w:pPr>
      <w:r>
        <w:t xml:space="preserve">0.00–0.20: </w:t>
      </w:r>
      <w:r>
        <w:rPr>
          <w:rFonts w:hint="eastAsia"/>
        </w:rPr>
        <w:t xml:space="preserve">极低的一致性</w:t>
      </w:r>
      <w:r>
        <w:t xml:space="preserve"> (Slight)。</w:t>
      </w:r>
    </w:p>
    <w:p>
      <w:pPr>
        <w:pStyle w:val="BodyText"/>
      </w:pPr>
      <w:r>
        <w:t xml:space="preserve">0.21–0.40: </w:t>
      </w:r>
      <w:r>
        <w:rPr>
          <w:rFonts w:hint="eastAsia"/>
        </w:rPr>
        <w:t xml:space="preserve">一般</w:t>
      </w:r>
      <w:r>
        <w:t xml:space="preserve"> (Fair)。</w:t>
      </w:r>
    </w:p>
    <w:p>
      <w:pPr>
        <w:pStyle w:val="BodyText"/>
      </w:pPr>
      <w:r>
        <w:t xml:space="preserve">0.41–0.60: </w:t>
      </w:r>
      <w:r>
        <w:rPr>
          <w:rFonts w:hint="eastAsia"/>
        </w:rPr>
        <w:t xml:space="preserve">中等</w:t>
      </w:r>
      <w:r>
        <w:t xml:space="preserve"> (Moderate)。</w:t>
      </w:r>
    </w:p>
    <w:p>
      <w:pPr>
        <w:pStyle w:val="BodyText"/>
      </w:pPr>
      <w:r>
        <w:t xml:space="preserve">0.61–0.80: </w:t>
      </w:r>
      <w:r>
        <w:rPr>
          <w:rFonts w:hint="eastAsia"/>
        </w:rPr>
        <w:t xml:space="preserve">高度一致</w:t>
      </w:r>
      <w:r>
        <w:t xml:space="preserve"> (Substantial)。</w:t>
      </w:r>
    </w:p>
    <w:p>
      <w:pPr>
        <w:pStyle w:val="BodyText"/>
      </w:pPr>
      <w:r>
        <w:t xml:space="preserve">0.81–1.00: </w:t>
      </w:r>
      <w:r>
        <w:rPr>
          <w:rFonts w:hint="eastAsia"/>
        </w:rPr>
        <w:t xml:space="preserve">几乎完美一致</w:t>
      </w:r>
      <w:r>
        <w:t xml:space="preserve"> (Almost Perfect)。</w:t>
      </w:r>
    </w:p>
    <w:p>
      <w:pPr>
        <w:pStyle w:val="BodyText"/>
      </w:pPr>
      <w:r>
        <w:t xml:space="preserve">p-value: </w:t>
      </w:r>
      <w:r>
        <w:rPr>
          <w:rFonts w:hint="eastAsia"/>
        </w:rPr>
        <w:t xml:space="preserve">如果</w:t>
      </w:r>
      <w:r>
        <w:t xml:space="preserve"> p &lt; </w:t>
      </w:r>
      <w:r>
        <w:rPr>
          <w:rFonts w:hint="eastAsia"/>
        </w:rPr>
        <w:t xml:space="preserve">0.05，</w:t>
      </w:r>
      <w:r>
        <w:t xml:space="preserve"> </w:t>
      </w:r>
      <w:r>
        <w:rPr>
          <w:rFonts w:hint="eastAsia"/>
        </w:rPr>
        <w:t xml:space="preserve">说明这种一致性不是随机发生的，具有统计学显著意义。</w:t>
      </w:r>
    </w:p>
    <w:bookmarkEnd w:id="22"/>
    <w:bookmarkEnd w:id="23"/>
    <w:bookmarkStart w:id="25" w:name="信度检验结果描述"/>
    <w:p>
      <w:pPr>
        <w:pStyle w:val="Heading2"/>
      </w:pPr>
      <w:r>
        <w:t xml:space="preserve">4 </w:t>
      </w:r>
      <w:r>
        <w:rPr>
          <w:rFonts w:hint="eastAsia"/>
        </w:rPr>
        <w:t xml:space="preserve">信度检验结果描述</w:t>
      </w:r>
    </w:p>
    <w:p>
      <w:pPr>
        <w:pStyle w:val="FirstParagraph"/>
      </w:pPr>
      <w:r>
        <w:rPr>
          <w:rFonts w:hint="eastAsia"/>
        </w:rPr>
        <w:t xml:space="preserve">本研究采用内容分析法对</w:t>
      </w:r>
      <w:r>
        <w:t xml:space="preserve"> 10 </w:t>
      </w:r>
      <w:r>
        <w:rPr>
          <w:rFonts w:hint="eastAsia"/>
        </w:rPr>
        <w:t xml:space="preserve">个样本进行编码。为确保编码的一致性，由两位独立编码员（A</w:t>
      </w:r>
      <w:r>
        <w:t xml:space="preserve"> </w:t>
      </w:r>
      <w:r>
        <w:rPr>
          <w:rFonts w:hint="eastAsia"/>
        </w:rPr>
        <w:t xml:space="preserve">与</w:t>
      </w:r>
      <w:r>
        <w:t xml:space="preserve"> </w:t>
      </w:r>
      <w:r>
        <w:rPr>
          <w:rFonts w:hint="eastAsia"/>
        </w:rPr>
        <w:t xml:space="preserve">B）根据预先制定的编码手册进行判读。初步信度检验结果显示，观察一致率（Holsti</w:t>
      </w:r>
      <w:r>
        <w:t xml:space="preserve"> </w:t>
      </w:r>
      <w:r>
        <w:rPr>
          <w:rFonts w:hint="eastAsia"/>
        </w:rPr>
        <w:t xml:space="preserve">系数）为</w:t>
      </w:r>
      <w:r>
        <w:t xml:space="preserve"> </w:t>
      </w:r>
      <w:r>
        <w:rPr>
          <w:rFonts w:hint="eastAsia"/>
        </w:rPr>
        <w:t xml:space="preserve">0.80。考虑到随机一致性的影响，进一步计算</w:t>
      </w:r>
      <w:r>
        <w:t xml:space="preserve"> Cohen’s Kappa </w:t>
      </w:r>
      <w:r>
        <w:rPr>
          <w:rFonts w:hint="eastAsia"/>
        </w:rPr>
        <w:t xml:space="preserve">系数，所得结果为</w:t>
      </w:r>
      <w:r>
        <w:t xml:space="preserve"> </w:t>
      </w:r>
      <m:oMath>
        <m:r>
          <m:t>κ</m:t>
        </m:r>
        <m:r>
          <m:rPr>
            <m:sty m:val="p"/>
          </m:rPr>
          <m:t>=</m:t>
        </m:r>
        <m:r>
          <m:t>0.67</m:t>
        </m:r>
      </m:oMath>
      <w:r>
        <w:rPr>
          <w:rFonts w:hint="eastAsia"/>
        </w:rPr>
        <w:t xml:space="preserve">。根据</w:t>
      </w:r>
      <w:r>
        <w:t xml:space="preserve"> </w:t>
      </w:r>
      <w:r>
        <w:t xml:space="preserve">Landis &amp; Koch (1977)</w:t>
      </w:r>
      <w:r>
        <w:t xml:space="preserve"> </w:t>
      </w:r>
      <w:r>
        <w:rPr>
          <w:rFonts w:hint="eastAsia"/>
        </w:rPr>
        <w:t xml:space="preserve">的判定标准，显示两位编码员之间具有</w:t>
      </w:r>
      <w:r>
        <w:rPr>
          <w:rFonts w:hint="eastAsia"/>
          <w:b/>
          <w:bCs/>
        </w:rPr>
        <w:t xml:space="preserve">高度一致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 xml:space="preserve">(Substantial)）</w:t>
      </w:r>
      <w:r>
        <w:rPr>
          <w:rFonts w:hint="eastAsia"/>
        </w:rPr>
        <w:t xml:space="preserve">的一致性</w:t>
      </w:r>
      <w:r>
        <w:rPr>
          <w:rStyle w:val="FootnoteReference"/>
        </w:rPr>
        <w:footnoteReference w:id="24"/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针对编码不一致的样本，研究团队随后进行了深入讨论，修正了编码手册中关于“类别</w:t>
      </w:r>
      <w:r>
        <w:t xml:space="preserve"> </w:t>
      </w:r>
      <w:r>
        <w:rPr>
          <w:rFonts w:hint="eastAsia"/>
        </w:rPr>
        <w:t xml:space="preserve">1”与“类别</w:t>
      </w:r>
      <w:r>
        <w:t xml:space="preserve"> </w:t>
      </w:r>
      <w:r>
        <w:rPr>
          <w:rFonts w:hint="eastAsia"/>
        </w:rPr>
        <w:t xml:space="preserve">0”界定模糊的部分，并达成共识，以确保后续大规模编码的严谨性。</w:t>
      </w:r>
    </w:p>
    <w:bookmarkEnd w:id="25"/>
    <w:bookmarkStart w:id="37" w:name="计算-krippendorffs-alpha-适用于多位编码员"/>
    <w:p>
      <w:pPr>
        <w:pStyle w:val="Heading2"/>
      </w:pPr>
      <w:r>
        <w:t xml:space="preserve">5 </w:t>
      </w:r>
      <w:r>
        <w:rPr>
          <w:rFonts w:hint="eastAsia"/>
        </w:rPr>
        <w:t xml:space="preserve">计算</w:t>
      </w:r>
      <w:r>
        <w:t xml:space="preserve"> Krippendorff’s Alpha </w:t>
      </w:r>
      <w:r>
        <w:rPr>
          <w:rFonts w:hint="eastAsia"/>
        </w:rPr>
        <w:t xml:space="preserve">(适用于多位编码员)</w:t>
      </w:r>
    </w:p>
    <w:bookmarkStart w:id="26" w:name="krippendorffs-alpha-公式"/>
    <w:p>
      <w:pPr>
        <w:pStyle w:val="Heading3"/>
      </w:pPr>
      <w:r>
        <w:t xml:space="preserve">5.1 Krippendorff’s Alpha </w:t>
      </w:r>
      <w:r>
        <w:rPr>
          <w:rFonts w:hint="eastAsia"/>
        </w:rPr>
        <w:t xml:space="preserve">公式</w:t>
      </w:r>
    </w:p>
    <w:p>
      <w:pPr>
        <w:pStyle w:val="FirstParagraph"/>
      </w:pPr>
      <m:oMathPara>
        <m:oMathParaPr>
          <m:jc m:val="center"/>
        </m:oMathParaPr>
        <m:oMath>
          <m:eqArr>
            <m:e>
              <m:r>
                <m:t>α</m:t>
              </m:r>
              <m:r>
                <m:t>&amp;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−</m:t>
              </m:r>
              <m:f>
                <m:fPr>
                  <m:type m:val="bar"/>
                </m:fPr>
                <m:num>
                  <m:sSub>
                    <m:e>
                      <m:r>
                        <m:t>D</m:t>
                      </m:r>
                    </m:e>
                    <m:sub>
                      <m:r>
                        <m:t>o</m:t>
                      </m:r>
                    </m:sub>
                  </m:sSub>
                </m:num>
                <m:den>
                  <m:sSub>
                    <m:e>
                      <m:r>
                        <m:t>D</m:t>
                      </m:r>
                    </m:e>
                    <m:sub>
                      <m:r>
                        <m:t>e</m:t>
                      </m:r>
                    </m:sub>
                  </m:sSub>
                </m:den>
              </m:f>
            </m:e>
            <m:e>
              <m:r>
                <m:rPr>
                  <m:nor/>
                  <m:sty m:val="p"/>
                </m:rPr>
                <m:t>其中：</m:t>
              </m:r>
              <m:r>
                <m:t>&amp;</m:t>
              </m:r>
              <m:sSub>
                <m:e>
                  <m:r>
                    <m:t>D</m:t>
                  </m:r>
                </m:e>
                <m:sub>
                  <m:r>
                    <m:t>o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观察到的不一致量 (Observed Disagreement)</m:t>
              </m:r>
            </m:e>
            <m:e>
              <m:r>
                <m:t>&amp;</m:t>
              </m:r>
              <m:sSub>
                <m:e>
                  <m:r>
                    <m:t>D</m:t>
                  </m:r>
                </m:e>
                <m:sub>
                  <m:r>
                    <m:t>e</m:t>
                  </m:r>
                </m:sub>
              </m:sSub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随机预期下的不一致量 (Expected Disagreement)</m:t>
              </m:r>
            </m:e>
          </m:eqArr>
        </m:oMath>
      </m:oMathPara>
    </w:p>
    <w:bookmarkEnd w:id="26"/>
    <w:bookmarkStart w:id="27" w:name="载入套件"/>
    <w:p>
      <w:pPr>
        <w:pStyle w:val="Heading3"/>
      </w:pPr>
      <w:r>
        <w:t xml:space="preserve">5.2 </w:t>
      </w:r>
      <w:r>
        <w:rPr>
          <w:rFonts w:hint="eastAsia"/>
        </w:rPr>
        <w:t xml:space="preserve">载入套件</w:t>
      </w:r>
    </w:p>
    <w:p>
      <w:pPr>
        <w:pStyle w:val="SourceCode"/>
      </w:pPr>
      <w:r>
        <w:rPr>
          <w:rStyle w:val="CommentTok"/>
        </w:rPr>
        <w:t xml:space="preserve">#install.packages("irr")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(irr)</w:t>
      </w:r>
    </w:p>
    <w:bookmarkEnd w:id="27"/>
    <w:bookmarkStart w:id="28" w:name="建立包含三位编码员的数据"/>
    <w:p>
      <w:pPr>
        <w:pStyle w:val="Heading3"/>
      </w:pPr>
      <w:r>
        <w:t xml:space="preserve">5.3 </w:t>
      </w:r>
      <w:r>
        <w:rPr>
          <w:rFonts w:hint="eastAsia"/>
        </w:rPr>
        <w:t xml:space="preserve">建立包含三位编码员的数据</w:t>
      </w:r>
    </w:p>
    <w:p>
      <w:pPr>
        <w:pStyle w:val="SourceCode"/>
      </w:pPr>
      <w:r>
        <w:rPr>
          <w:rStyle w:val="NormalTok"/>
        </w:rPr>
        <w:t xml:space="preserve">coder_A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coder_B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coder_C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</w:p>
    <w:bookmarkEnd w:id="28"/>
    <w:bookmarkStart w:id="29" w:name="合并并转置-行必须是编码员列是样本"/>
    <w:p>
      <w:pPr>
        <w:pStyle w:val="Heading3"/>
      </w:pPr>
      <w:r>
        <w:t xml:space="preserve">5.4 </w:t>
      </w:r>
      <w:r>
        <w:rPr>
          <w:rFonts w:hint="eastAsia"/>
        </w:rPr>
        <w:t xml:space="preserve">合并并转置</w:t>
      </w:r>
      <w:r>
        <w:t xml:space="preserve"> </w:t>
      </w:r>
      <w:r>
        <w:rPr>
          <w:rFonts w:hint="eastAsia"/>
        </w:rPr>
        <w:t xml:space="preserve">(行必须是编码员，列是样本)</w:t>
      </w:r>
    </w:p>
    <w:p>
      <w:pPr>
        <w:pStyle w:val="SourceCode"/>
      </w:pPr>
      <w:r>
        <w:rPr>
          <w:rStyle w:val="NormalTok"/>
        </w:rPr>
        <w:t xml:space="preserve">data_Kalpha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(coder_A, coder_B, coder_C)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(data_Kalpha)</w:t>
      </w:r>
    </w:p>
    <w:p>
      <w:pPr>
        <w:pStyle w:val="SourceCode"/>
      </w:pPr>
      <w:r>
        <w:rPr>
          <w:rStyle w:val="VerbatimChar"/>
        </w:rPr>
        <w:t xml:space="preserve">   coder_A coder_B coder_C</w:t>
      </w:r>
      <w:r>
        <w:br/>
      </w:r>
      <w:r>
        <w:rPr>
          <w:rStyle w:val="VerbatimChar"/>
        </w:rPr>
        <w:t xml:space="preserve">1        1       1       1</w:t>
      </w:r>
      <w:r>
        <w:br/>
      </w:r>
      <w:r>
        <w:rPr>
          <w:rStyle w:val="VerbatimChar"/>
        </w:rPr>
        <w:t xml:space="preserve">2        0       0       0</w:t>
      </w:r>
      <w:r>
        <w:br/>
      </w:r>
      <w:r>
        <w:rPr>
          <w:rStyle w:val="VerbatimChar"/>
        </w:rPr>
        <w:t xml:space="preserve">3        2       1       2</w:t>
      </w:r>
      <w:r>
        <w:br/>
      </w:r>
      <w:r>
        <w:rPr>
          <w:rStyle w:val="VerbatimChar"/>
        </w:rPr>
        <w:t xml:space="preserve">4        1       1       1</w:t>
      </w:r>
      <w:r>
        <w:br/>
      </w:r>
      <w:r>
        <w:rPr>
          <w:rStyle w:val="VerbatimChar"/>
        </w:rPr>
        <w:t xml:space="preserve">5        1       1       0</w:t>
      </w:r>
      <w:r>
        <w:br/>
      </w:r>
      <w:r>
        <w:rPr>
          <w:rStyle w:val="VerbatimChar"/>
        </w:rPr>
        <w:t xml:space="preserve">6        0       0       0</w:t>
      </w:r>
      <w:r>
        <w:br/>
      </w:r>
      <w:r>
        <w:rPr>
          <w:rStyle w:val="VerbatimChar"/>
        </w:rPr>
        <w:t xml:space="preserve">7        2       2       2</w:t>
      </w:r>
      <w:r>
        <w:br/>
      </w:r>
      <w:r>
        <w:rPr>
          <w:rStyle w:val="VerbatimChar"/>
        </w:rPr>
        <w:t xml:space="preserve">8        1       0       1</w:t>
      </w:r>
      <w:r>
        <w:br/>
      </w:r>
      <w:r>
        <w:rPr>
          <w:rStyle w:val="VerbatimChar"/>
        </w:rPr>
        <w:t xml:space="preserve">9        0       0       0</w:t>
      </w:r>
      <w:r>
        <w:br/>
      </w:r>
      <w:r>
        <w:rPr>
          <w:rStyle w:val="VerbatimChar"/>
        </w:rPr>
        <w:t xml:space="preserve">10       1       1       1</w:t>
      </w:r>
    </w:p>
    <w:p>
      <w:pPr>
        <w:pStyle w:val="SourceCode"/>
      </w:pPr>
      <w:r>
        <w:rPr>
          <w:rStyle w:val="NormalTok"/>
        </w:rPr>
        <w:t xml:space="preserve">matrix_Kalpha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as.matrix</w:t>
      </w:r>
      <w:r>
        <w:rPr>
          <w:rStyle w:val="NormalTok"/>
        </w:rPr>
        <w:t xml:space="preserve">(data_Kalpha))</w:t>
      </w:r>
      <w:r>
        <w:br/>
      </w:r>
      <w:r>
        <w:rPr>
          <w:rStyle w:val="FunctionTok"/>
        </w:rPr>
        <w:t xml:space="preserve">print</w:t>
      </w:r>
      <w:r>
        <w:rPr>
          <w:rStyle w:val="NormalTok"/>
        </w:rPr>
        <w:t xml:space="preserve">(matrix_Kalpha)</w:t>
      </w:r>
    </w:p>
    <w:p>
      <w:pPr>
        <w:pStyle w:val="SourceCode"/>
      </w:pPr>
      <w:r>
        <w:rPr>
          <w:rStyle w:val="VerbatimChar"/>
        </w:rPr>
        <w:t xml:space="preserve">        [,1] [,2] [,3] [,4] [,5] [,6] [,7] [,8] [,9] [,10]</w:t>
      </w:r>
      <w:r>
        <w:br/>
      </w:r>
      <w:r>
        <w:rPr>
          <w:rStyle w:val="VerbatimChar"/>
        </w:rPr>
        <w:t xml:space="preserve">coder_A    1    0    2    1    1    0    2    1    0     1</w:t>
      </w:r>
      <w:r>
        <w:br/>
      </w:r>
      <w:r>
        <w:rPr>
          <w:rStyle w:val="VerbatimChar"/>
        </w:rPr>
        <w:t xml:space="preserve">coder_B    1    0    1    1    1    0    2    0    0     1</w:t>
      </w:r>
      <w:r>
        <w:br/>
      </w:r>
      <w:r>
        <w:rPr>
          <w:rStyle w:val="VerbatimChar"/>
        </w:rPr>
        <w:t xml:space="preserve">coder_C    1    0    2    1    0    0    2    1    0     1</w:t>
      </w:r>
    </w:p>
    <w:bookmarkEnd w:id="29"/>
    <w:bookmarkStart w:id="30" w:name="计算定类尺度的-alpha"/>
    <w:p>
      <w:pPr>
        <w:pStyle w:val="Heading3"/>
      </w:pPr>
      <w:r>
        <w:t xml:space="preserve">5.5 </w:t>
      </w:r>
      <w:r>
        <w:rPr>
          <w:rFonts w:hint="eastAsia"/>
        </w:rPr>
        <w:t xml:space="preserve">计算定类尺度的</w:t>
      </w:r>
      <w:r>
        <w:t xml:space="preserve"> Alpha</w:t>
      </w:r>
    </w:p>
    <w:p>
      <w:pPr>
        <w:pStyle w:val="SourceCode"/>
      </w:pPr>
      <w:r>
        <w:rPr>
          <w:rStyle w:val="NormalTok"/>
        </w:rPr>
        <w:t xml:space="preserve">result_Kalpha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kripp.alpha</w:t>
      </w:r>
      <w:r>
        <w:rPr>
          <w:rStyle w:val="NormalTok"/>
        </w:rPr>
        <w:t xml:space="preserve">(matrix_Kalpha, </w:t>
      </w:r>
      <w:r>
        <w:rPr>
          <w:rStyle w:val="AttributeTok"/>
        </w:rPr>
        <w:t xml:space="preserve">method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"nominal"</w:t>
      </w:r>
      <w:r>
        <w:rPr>
          <w:rStyle w:val="NormalTok"/>
        </w:rPr>
        <w:t xml:space="preserve">)</w:t>
      </w:r>
    </w:p>
    <w:bookmarkEnd w:id="30"/>
    <w:bookmarkStart w:id="31" w:name="查看结果"/>
    <w:p>
      <w:pPr>
        <w:pStyle w:val="Heading3"/>
      </w:pPr>
      <w:r>
        <w:t xml:space="preserve">5.6 </w:t>
      </w:r>
      <w:r>
        <w:rPr>
          <w:rFonts w:hint="eastAsia"/>
        </w:rPr>
        <w:t xml:space="preserve">查看结果</w:t>
      </w:r>
    </w:p>
    <w:p>
      <w:pPr>
        <w:pStyle w:val="SourceCode"/>
      </w:pPr>
      <w:r>
        <w:rPr>
          <w:rStyle w:val="FunctionTok"/>
        </w:rPr>
        <w:t xml:space="preserve">print</w:t>
      </w:r>
      <w:r>
        <w:rPr>
          <w:rStyle w:val="NormalTok"/>
        </w:rPr>
        <w:t xml:space="preserve">(result_Kalpha) </w:t>
      </w:r>
      <w:r>
        <w:rPr>
          <w:rStyle w:val="CommentTok"/>
        </w:rPr>
        <w:t xml:space="preserve">#0.683</w:t>
      </w:r>
    </w:p>
    <w:p>
      <w:pPr>
        <w:pStyle w:val="SourceCode"/>
      </w:pPr>
      <w:r>
        <w:rPr>
          <w:rStyle w:val="VerbatimChar"/>
        </w:rPr>
        <w:t xml:space="preserve"> Krippendorff's alpha</w:t>
      </w:r>
      <w:r>
        <w:br/>
      </w:r>
      <w:r>
        <w:br/>
      </w:r>
      <w:r>
        <w:rPr>
          <w:rStyle w:val="VerbatimChar"/>
        </w:rPr>
        <w:t xml:space="preserve"> Subjects = 10 </w:t>
      </w:r>
      <w:r>
        <w:br/>
      </w:r>
      <w:r>
        <w:rPr>
          <w:rStyle w:val="VerbatimChar"/>
        </w:rPr>
        <w:t xml:space="preserve">   Raters = 3 </w:t>
      </w:r>
      <w:r>
        <w:br/>
      </w:r>
      <w:r>
        <w:rPr>
          <w:rStyle w:val="VerbatimChar"/>
        </w:rPr>
        <w:t xml:space="preserve">    alpha = 0.683 </w:t>
      </w:r>
    </w:p>
    <w:bookmarkEnd w:id="31"/>
    <w:bookmarkStart w:id="32" w:name="系数判准"/>
    <w:p>
      <w:pPr>
        <w:pStyle w:val="Heading3"/>
      </w:pPr>
      <w:r>
        <w:t xml:space="preserve">5.7 </w:t>
      </w:r>
      <w:r>
        <w:rPr>
          <w:rFonts w:hint="eastAsia"/>
        </w:rPr>
        <w:t xml:space="preserve">系数判准</w:t>
      </w:r>
    </w:p>
    <w:p>
      <w:pPr>
        <w:pStyle w:val="FirstParagraph"/>
      </w:pPr>
      <m:oMath>
        <m:r>
          <m:t>α</m:t>
        </m:r>
        <m:r>
          <m:rPr>
            <m:sty m:val="p"/>
          </m:rPr>
          <m:t>&gt;</m:t>
        </m:r>
        <m:r>
          <m:t>0.800</m:t>
        </m:r>
      </m:oMath>
      <w:r>
        <w:rPr>
          <w:rFonts w:hint="eastAsia"/>
        </w:rPr>
        <w:t xml:space="preserve">：结论非常可靠（高度一致）。</w:t>
      </w:r>
    </w:p>
    <w:p>
      <w:pPr>
        <w:pStyle w:val="BodyText"/>
      </w:pPr>
      <m:oMath>
        <m:r>
          <m:t>0.667</m:t>
        </m:r>
        <m:r>
          <m:rPr>
            <m:sty m:val="p"/>
          </m:rPr>
          <m:t>&lt;</m:t>
        </m:r>
        <m:r>
          <m:t>α</m:t>
        </m:r>
        <m:r>
          <m:rPr>
            <m:sty m:val="p"/>
          </m:rPr>
          <m:t>&lt;</m:t>
        </m:r>
        <m:r>
          <m:t>0.800</m:t>
        </m:r>
      </m:oMath>
      <w:r>
        <w:rPr>
          <w:rFonts w:hint="eastAsia"/>
        </w:rPr>
        <w:t xml:space="preserve">：</w:t>
      </w:r>
      <w:r>
        <w:t xml:space="preserve"> </w:t>
      </w:r>
      <w:r>
        <w:rPr>
          <w:rFonts w:hint="eastAsia"/>
        </w:rPr>
        <w:t xml:space="preserve">可接受的信度，足以得出初步结论（中高度一致）。</w:t>
      </w:r>
    </w:p>
    <w:p>
      <w:pPr>
        <w:pStyle w:val="BodyText"/>
      </w:pPr>
      <m:oMath>
        <m:r>
          <m:t>α</m:t>
        </m:r>
        <m:r>
          <m:rPr>
            <m:sty m:val="p"/>
          </m:rPr>
          <m:t>&lt;</m:t>
        </m:r>
        <m:r>
          <m:t>0.667</m:t>
        </m:r>
      </m:oMath>
      <w:r>
        <w:rPr>
          <w:rFonts w:hint="eastAsia"/>
        </w:rPr>
        <w:t xml:space="preserve">：信度堪忧，通常需要回过头检查编码员</w:t>
      </w:r>
      <w:r>
        <w:t xml:space="preserve"> A/B/C </w:t>
      </w:r>
      <w:r>
        <w:rPr>
          <w:rFonts w:hint="eastAsia"/>
        </w:rPr>
        <w:t xml:space="preserve">为什么在样本</w:t>
      </w:r>
      <w:r>
        <w:t xml:space="preserve"> 3、5、8 </w:t>
      </w:r>
      <w:r>
        <w:rPr>
          <w:rFonts w:hint="eastAsia"/>
        </w:rPr>
        <w:t xml:space="preserve">产生了分歧。</w:t>
      </w:r>
    </w:p>
    <w:bookmarkEnd w:id="32"/>
    <w:bookmarkStart w:id="36" w:name="讨论与不一致性处理"/>
    <w:p>
      <w:pPr>
        <w:pStyle w:val="Heading3"/>
      </w:pPr>
      <w:r>
        <w:t xml:space="preserve">5.8 </w:t>
      </w:r>
      <w:r>
        <w:rPr>
          <w:rFonts w:hint="eastAsia"/>
        </w:rPr>
        <w:t xml:space="preserve">讨论与不一致性处理:</w:t>
      </w:r>
    </w:p>
    <w:p>
      <w:pPr>
        <w:pStyle w:val="FirstParagraph"/>
      </w:pPr>
      <w:r>
        <w:rPr>
          <w:rFonts w:hint="eastAsia"/>
        </w:rPr>
        <w:t xml:space="preserve">本研究在初步编码测试中获得</w:t>
      </w:r>
      <w:r>
        <w:t xml:space="preserve"> Krippendorff’s Alpha </w:t>
      </w:r>
      <w:r>
        <w:rPr>
          <w:rFonts w:hint="eastAsia"/>
        </w:rPr>
        <w:t xml:space="preserve">系数为</w:t>
      </w:r>
      <w:r>
        <w:t xml:space="preserve"> 0.683 (</w:t>
      </w:r>
      <m:oMath>
        <m:r>
          <m:t>n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,</m:t>
        </m:r>
        <m:r>
          <m:t>k</m:t>
        </m:r>
        <m:r>
          <m:rPr>
            <m:sty m:val="p"/>
          </m:rPr>
          <m:t>=</m:t>
        </m:r>
        <m:r>
          <m:t>3</m:t>
        </m:r>
      </m:oMath>
      <w:r>
        <w:t xml:space="preserve">)。</w:t>
      </w:r>
    </w:p>
    <w:p>
      <w:pPr>
        <w:pStyle w:val="BodyText"/>
      </w:pPr>
      <w:r>
        <w:rPr>
          <w:rFonts w:hint="eastAsia"/>
        </w:rPr>
        <w:t xml:space="preserve">尽管该系数已达到社会科学研究的可接受标准（</w:t>
      </w:r>
      <m:oMath>
        <m:r>
          <m:t>α</m:t>
        </m:r>
        <m:r>
          <m:rPr>
            <m:sty m:val="p"/>
          </m:rPr>
          <m:t>&gt;</m:t>
        </m:r>
        <m:r>
          <m:t>0.667</m:t>
        </m:r>
      </m:oMath>
      <w:r>
        <w:rPr>
          <w:rFonts w:hint="eastAsia"/>
        </w:rPr>
        <w:t xml:space="preserve">），但研究团队仍针对产生分歧的样本（样本</w:t>
      </w:r>
      <w:r>
        <w:t xml:space="preserve"> </w:t>
      </w:r>
      <w:r>
        <w:rPr>
          <w:rFonts w:hint="eastAsia"/>
        </w:rPr>
        <w:t xml:space="preserve">3、5、8）进行了深度协商。</w:t>
      </w:r>
    </w:p>
    <w:p>
      <w:pPr>
        <w:pStyle w:val="BodyText"/>
      </w:pPr>
      <w:r>
        <w:rPr>
          <w:rFonts w:hint="eastAsia"/>
        </w:rPr>
        <w:t xml:space="preserve">分歧点分析：样本</w:t>
      </w:r>
      <w:r>
        <w:t xml:space="preserve"> 3 </w:t>
      </w:r>
      <w:r>
        <w:rPr>
          <w:rFonts w:hint="eastAsia"/>
        </w:rPr>
        <w:t xml:space="preserve">中，编码员</w:t>
      </w:r>
      <w:r>
        <w:t xml:space="preserve"> A </w:t>
      </w:r>
      <w:r>
        <w:rPr>
          <w:rFonts w:hint="eastAsia"/>
        </w:rPr>
        <w:t xml:space="preserve">与</w:t>
      </w:r>
      <w:r>
        <w:t xml:space="preserve"> C </w:t>
      </w:r>
      <w:r>
        <w:rPr>
          <w:rFonts w:hint="eastAsia"/>
        </w:rPr>
        <w:t xml:space="preserve">判定为类别</w:t>
      </w:r>
      <w:r>
        <w:t xml:space="preserve"> </w:t>
      </w:r>
      <w:r>
        <w:rPr>
          <w:rFonts w:hint="eastAsia"/>
        </w:rPr>
        <w:t xml:space="preserve">2，而</w:t>
      </w:r>
      <w:r>
        <w:t xml:space="preserve"> B </w:t>
      </w:r>
      <w:r>
        <w:rPr>
          <w:rFonts w:hint="eastAsia"/>
        </w:rPr>
        <w:t xml:space="preserve">判定为类别</w:t>
      </w:r>
      <w:r>
        <w:t xml:space="preserve"> </w:t>
      </w:r>
      <w:r>
        <w:rPr>
          <w:rFonts w:hint="eastAsia"/>
        </w:rPr>
        <w:t xml:space="preserve">1；样本</w:t>
      </w:r>
      <w:r>
        <w:t xml:space="preserve"> 5 </w:t>
      </w:r>
      <w:r>
        <w:rPr>
          <w:rFonts w:hint="eastAsia"/>
        </w:rPr>
        <w:t xml:space="preserve">与</w:t>
      </w:r>
      <w:r>
        <w:t xml:space="preserve"> 8 </w:t>
      </w:r>
      <w:r>
        <w:rPr>
          <w:rFonts w:hint="eastAsia"/>
        </w:rPr>
        <w:t xml:space="preserve">则呈现出三方各异的判断。经讨论发现，分歧主要源于编码手册中关于“语义模糊性”的界定不够明确。</w:t>
      </w:r>
    </w:p>
    <w:p>
      <w:pPr>
        <w:pStyle w:val="BodyText"/>
      </w:pPr>
      <w:r>
        <w:rPr>
          <w:rFonts w:hint="eastAsia"/>
        </w:rPr>
        <w:t xml:space="preserve">处理结果：研究团队随后修订了编码手册（Codebook），增加了具体案例展示以统一判读标准。经协商一致后，最终将争议样本的属性进行了定论(样本3定论为2;</w:t>
      </w:r>
      <w:r>
        <w:t xml:space="preserve"> </w:t>
      </w:r>
      <w:r>
        <w:rPr>
          <w:rFonts w:hint="eastAsia"/>
        </w:rPr>
        <w:t xml:space="preserve">样本5定论为1;样本8定论为1;)。此过程确保了后续大规模编码任务的严谨性与严密性。</w:t>
      </w:r>
    </w:p>
    <w:bookmarkStart w:id="35" w:name="refs"/>
    <w:bookmarkStart w:id="34" w:name="ref-landis1977"/>
    <w:p>
      <w:pPr>
        <w:pStyle w:val="Bibliography"/>
      </w:pPr>
      <w:r>
        <w:t xml:space="preserve">Landis, J. R., &amp; Koch, G. G. (1977). The measurement of observer agreement for categorical data.</w:t>
      </w:r>
      <w:r>
        <w:t xml:space="preserve"> </w:t>
      </w:r>
      <w:r>
        <w:rPr>
          <w:i/>
          <w:iCs/>
        </w:rPr>
        <w:t xml:space="preserve">Biometrics</w:t>
      </w:r>
      <w:r>
        <w:t xml:space="preserve">,</w:t>
      </w:r>
      <w:r>
        <w:t xml:space="preserve"> </w:t>
      </w:r>
      <w:r>
        <w:rPr>
          <w:i/>
          <w:iCs/>
        </w:rPr>
        <w:t xml:space="preserve">33</w:t>
      </w:r>
      <w:r>
        <w:t xml:space="preserve">(1), </w:t>
      </w:r>
      <w:r>
        <w:rPr>
          <w:rFonts w:hint="eastAsia"/>
        </w:rPr>
        <w:t xml:space="preserve">159～174.</w:t>
      </w:r>
      <w:r>
        <w:t xml:space="preserve"> https://doi.org/</w:t>
      </w:r>
      <w:hyperlink r:id="rId33">
        <w:r>
          <w:rPr>
            <w:rStyle w:val="Hyperlink"/>
          </w:rPr>
          <w:t xml:space="preserve">https://doi.org/10.2307/2529310</w:t>
        </w:r>
      </w:hyperlink>
    </w:p>
    <w:bookmarkEnd w:id="34"/>
    <w:bookmarkEnd w:id="35"/>
    <w:bookmarkEnd w:id="36"/>
    <w:bookmarkEnd w:id="3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2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0.61–0.80: </w:t>
      </w:r>
      <w:r>
        <w:rPr>
          <w:rFonts w:hint="eastAsia"/>
        </w:rPr>
        <w:t xml:space="preserve">高度一致</w:t>
      </w:r>
      <w:r>
        <w:t xml:space="preserve"> (Substantial)。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33" Target="https://doi.org/10.2307/252931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3" Target="https://doi.org/10.2307/252931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内容分析编码员信度计算</dc:title>
  <dc:creator>刘念夏</dc:creator>
  <dc:language>zh-Hans</dc:language>
  <cp:keywords/>
  <dcterms:created xsi:type="dcterms:W3CDTF">2026-05-22T01:15:34Z</dcterms:created>
  <dcterms:modified xsi:type="dcterms:W3CDTF">2026-05-22T01:15:34Z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>references.bib</vt:lpwstr>
  </property>
  <property fmtid="{D5CDD505-2E9C-101B-9397-08002B2CF9AE}" pid="5" name="by-author">
    <vt:lpwstr/>
  </property>
  <property fmtid="{D5CDD505-2E9C-101B-9397-08002B2CF9AE}" pid="6" name="csl">
    <vt:lpwstr>apa.csl</vt:lpwstr>
  </property>
  <property fmtid="{D5CDD505-2E9C-101B-9397-08002B2CF9AE}" pid="7" name="date">
    <vt:lpwstr>2026-05-22</vt:lpwstr>
  </property>
  <property fmtid="{D5CDD505-2E9C-101B-9397-08002B2CF9AE}" pid="8" name="date-format">
    <vt:lpwstr>YYYY-MM-DD</vt:lpwstr>
  </property>
  <property fmtid="{D5CDD505-2E9C-101B-9397-08002B2CF9AE}" pid="9" name="editor">
    <vt:lpwstr>visual</vt:lpwstr>
  </property>
  <property fmtid="{D5CDD505-2E9C-101B-9397-08002B2CF9AE}" pid="10" name="editor_options">
    <vt:lpwstr/>
  </property>
  <property fmtid="{D5CDD505-2E9C-101B-9397-08002B2CF9AE}" pid="11" name="engines">
    <vt:lpwstr/>
  </property>
  <property fmtid="{D5CDD505-2E9C-101B-9397-08002B2CF9AE}" pid="12" name="fig-caption">
    <vt:lpwstr>True</vt:lpwstr>
  </property>
  <property fmtid="{D5CDD505-2E9C-101B-9397-08002B2CF9AE}" pid="13" name="header-includes">
    <vt:lpwstr/>
  </property>
  <property fmtid="{D5CDD505-2E9C-101B-9397-08002B2CF9AE}" pid="14" name="include-after">
    <vt:lpwstr/>
  </property>
  <property fmtid="{D5CDD505-2E9C-101B-9397-08002B2CF9AE}" pid="15" name="include-before">
    <vt:lpwstr/>
  </property>
  <property fmtid="{D5CDD505-2E9C-101B-9397-08002B2CF9AE}" pid="16" name="labels">
    <vt:lpwstr/>
  </property>
  <property fmtid="{D5CDD505-2E9C-101B-9397-08002B2CF9AE}" pid="17" name="modified">
    <vt:lpwstr>last-modified</vt:lpwstr>
  </property>
  <property fmtid="{D5CDD505-2E9C-101B-9397-08002B2CF9AE}" pid="18" name="toc-location">
    <vt:lpwstr>left</vt:lpwstr>
  </property>
  <property fmtid="{D5CDD505-2E9C-101B-9397-08002B2CF9AE}" pid="19" name="toc-title">
    <vt:lpwstr>目录</vt:lpwstr>
  </property>
</Properties>
</file>